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ullets"/>
        <w:jc w:val="center"/>
        <w:rPr>
          <w:rFonts w:ascii="Tahoma" w:cs="Tahoma" w:hAnsi="Tahoma" w:eastAsia="Tahoma"/>
          <w:sz w:val="20"/>
          <w:szCs w:val="20"/>
          <w:lang w:val="en-US"/>
        </w:rPr>
      </w:pPr>
      <w:r>
        <w:rPr>
          <w:rFonts w:ascii="Copperplate" w:hAnsi="Copperplate"/>
          <w:sz w:val="28"/>
          <w:szCs w:val="28"/>
          <w:rtl w:val="0"/>
          <w:lang w:val="en-US"/>
        </w:rPr>
        <w:t xml:space="preserve">John </w:t>
      </w:r>
      <w:r>
        <w:rPr>
          <w:rFonts w:ascii="Copperplate" w:hAnsi="Copperplate"/>
          <w:sz w:val="28"/>
          <w:szCs w:val="28"/>
          <w:rtl w:val="0"/>
          <w:lang w:val="en-US"/>
        </w:rPr>
        <w:t>&amp; Nicole</w:t>
      </w:r>
      <w:r>
        <w:rPr>
          <w:rFonts w:ascii="Copperplate" w:hAnsi="Copperplate"/>
          <w:sz w:val="28"/>
          <w:szCs w:val="28"/>
          <w:rtl w:val="0"/>
          <w:lang w:val="en-US"/>
        </w:rPr>
        <w:t xml:space="preserve"> Manley</w:t>
      </w:r>
      <w:r>
        <w:rPr>
          <w:rFonts w:ascii="Copperplate" w:cs="Copperplate" w:hAnsi="Copperplate" w:eastAsia="Copperplate"/>
          <w:sz w:val="28"/>
          <w:szCs w:val="28"/>
          <w:lang w:val="en-US"/>
        </w:rPr>
        <w:br w:type="textWrapping"/>
      </w:r>
      <w:r>
        <w:rPr>
          <w:rFonts w:ascii="Arial" w:cs="Arial Unicode MS" w:hAnsi="Arial" w:eastAsia="Arial Unicode MS"/>
          <w:b w:val="0"/>
          <w:bCs w:val="0"/>
          <w:i w:val="0"/>
          <w:iCs w:val="0"/>
          <w:outline w:val="0"/>
          <w:color w:val="000000"/>
          <w:sz w:val="20"/>
          <w:szCs w:val="20"/>
          <w:rtl w:val="0"/>
          <w:lang w:val="en-US"/>
          <w14:textFill>
            <w14:solidFill>
              <w14:srgbClr w14:val="000000"/>
            </w14:solidFill>
          </w14:textFill>
        </w:rPr>
        <w:t>******</w:t>
      </w:r>
      <w:r>
        <w:rPr>
          <w:rFonts w:ascii="Arial" w:cs="Arial Unicode MS" w:hAnsi="Arial" w:eastAsia="Arial Unicode MS"/>
          <w:b w:val="0"/>
          <w:bCs w:val="0"/>
          <w:i w:val="0"/>
          <w:iCs w:val="0"/>
          <w:outline w:val="0"/>
          <w:color w:val="000000"/>
          <w:sz w:val="20"/>
          <w:szCs w:val="20"/>
          <w:rtl w:val="0"/>
          <w:lang w:val="en-US"/>
          <w14:textFill>
            <w14:solidFill>
              <w14:srgbClr w14:val="000000"/>
            </w14:solidFill>
          </w14:textFill>
        </w:rPr>
        <w:t>@gmail.com</w:t>
      </w:r>
      <w:r>
        <w:rPr>
          <w:rStyle w:val="Internet Link"/>
          <w:rFonts w:ascii="Arial" w:hAnsi="Arial"/>
          <w:outline w:val="0"/>
          <w:color w:val="000000"/>
          <w:sz w:val="20"/>
          <w:szCs w:val="20"/>
          <w:u w:val="none"/>
          <w:rtl w:val="0"/>
          <w:lang w:val="en-US"/>
          <w14:textFill>
            <w14:solidFill>
              <w14:srgbClr w14:val="000000"/>
            </w14:solidFill>
          </w14:textFill>
        </w:rPr>
        <w:t xml:space="preserve"> | (519) 508-</w:t>
      </w:r>
      <w:r>
        <w:rPr>
          <w:rStyle w:val="Internet Link"/>
          <w:rFonts w:ascii="Arial" w:hAnsi="Arial"/>
          <w:outline w:val="0"/>
          <w:color w:val="000000"/>
          <w:sz w:val="20"/>
          <w:szCs w:val="20"/>
          <w:u w:val="none"/>
          <w:rtl w:val="0"/>
          <w:lang w:val="en-US"/>
          <w14:textFill>
            <w14:solidFill>
              <w14:srgbClr w14:val="000000"/>
            </w14:solidFill>
          </w14:textFill>
        </w:rPr>
        <w:t>****</w:t>
      </w:r>
      <w:r>
        <w:rPr>
          <w:rStyle w:val="Internet Link"/>
          <w:rFonts w:ascii="Arial" w:cs="Arial" w:hAnsi="Arial" w:eastAsia="Arial"/>
          <w:outline w:val="0"/>
          <w:color w:val="000000"/>
          <w:sz w:val="20"/>
          <w:szCs w:val="20"/>
          <w:u w:val="none"/>
          <w:lang w:val="en-US"/>
          <w14:textFill>
            <w14:solidFill>
              <w14:srgbClr w14:val="000000"/>
            </w14:solidFill>
          </w14:textFill>
        </w:rPr>
        <w:br w:type="textWrapping"/>
      </w:r>
      <w:r>
        <w:rPr>
          <w:rFonts w:ascii="Arial" w:hAnsi="Arial"/>
          <w:sz w:val="20"/>
          <w:szCs w:val="20"/>
          <w:rtl w:val="0"/>
          <w:lang w:val="en-US"/>
        </w:rPr>
        <w:t>98 William St. Apt. 10 Stratford ON N5A 4Y1 Canada</w:t>
      </w:r>
    </w:p>
    <w:p>
      <w:pPr>
        <w:pStyle w:val="Body"/>
        <w:spacing w:after="240"/>
      </w:pPr>
    </w:p>
    <w:p>
      <w:pPr>
        <w:pStyle w:val="Body"/>
        <w:spacing w:after="240"/>
        <w:ind w:firstLine="0"/>
      </w:pPr>
      <w:r>
        <w:rPr>
          <w:rtl w:val="0"/>
        </w:rPr>
        <w:t xml:space="preserve">Mr. Andrew Williams </w:t>
      </w:r>
      <w:r>
        <w:br w:type="textWrapping"/>
      </w:r>
      <w:r>
        <w:rPr>
          <w:rtl w:val="0"/>
          <w:lang w:val="pt-PT"/>
        </w:rPr>
        <w:t xml:space="preserve">46 General Hospital Dr. </w:t>
      </w:r>
      <w:r>
        <w:br w:type="textWrapping"/>
      </w:r>
      <w:r>
        <w:rPr>
          <w:rtl w:val="0"/>
          <w:lang w:val="en-US"/>
        </w:rPr>
        <w:t>Stratford, ON N5A 2Y6</w:t>
      </w:r>
      <w:r>
        <w:br w:type="textWrapping"/>
      </w:r>
    </w:p>
    <w:p>
      <w:pPr>
        <w:pStyle w:val="Body"/>
        <w:spacing w:after="240"/>
        <w:ind w:firstLine="0"/>
      </w:pPr>
      <w:r>
        <w:rPr>
          <w:rtl w:val="0"/>
          <w:lang w:val="en-US"/>
        </w:rPr>
        <w:t>Monday, November 2, 2020</w:t>
      </w:r>
      <w:r>
        <w:br w:type="textWrapping"/>
      </w:r>
    </w:p>
    <w:p>
      <w:pPr>
        <w:pStyle w:val="Body"/>
        <w:spacing w:after="240"/>
        <w:ind w:firstLine="0"/>
      </w:pPr>
      <w:r>
        <w:rPr>
          <w:rtl w:val="0"/>
          <w:lang w:val="en-US"/>
        </w:rPr>
        <w:t xml:space="preserve">Dear </w:t>
      </w:r>
      <w:r>
        <w:rPr>
          <w:rtl w:val="0"/>
          <w:lang w:val="en-US"/>
        </w:rPr>
        <w:t>Mr. Williams,</w:t>
      </w:r>
    </w:p>
    <w:p>
      <w:pPr>
        <w:pStyle w:val="opening"/>
        <w:bidi w:val="0"/>
      </w:pPr>
      <w:r>
        <w:rPr>
          <w:rtl w:val="0"/>
        </w:rPr>
        <w:t>Enclosed you will find a copy of</w:t>
      </w:r>
      <w:r>
        <w:rPr>
          <w:rtl w:val="0"/>
        </w:rPr>
        <w:t xml:space="preserve"> </w:t>
      </w:r>
      <w:r>
        <w:rPr>
          <w:i w:val="1"/>
          <w:iCs w:val="1"/>
          <w:rtl w:val="0"/>
          <w:lang w:val="it-IT"/>
        </w:rPr>
        <w:t xml:space="preserve">Corona: False </w:t>
      </w:r>
      <w:r>
        <w:rPr>
          <w:i w:val="1"/>
          <w:iCs w:val="1"/>
          <w:rtl w:val="0"/>
          <w:lang w:val="en-US"/>
        </w:rPr>
        <w:t xml:space="preserve">Alarm?, </w:t>
      </w:r>
      <w:r>
        <w:rPr>
          <w:rtl w:val="0"/>
        </w:rPr>
        <w:t xml:space="preserve">a newly published book by </w:t>
      </w:r>
      <w:r>
        <w:rPr>
          <w:rtl w:val="0"/>
          <w:lang w:val="de-DE"/>
        </w:rPr>
        <w:t>Drs. Karina Reiss, PhD and Sucharit Bakdi, M</w:t>
      </w:r>
      <w:r>
        <w:rPr>
          <w:rtl w:val="0"/>
        </w:rPr>
        <w:t>D.</w:t>
      </w:r>
      <w:r>
        <w:rPr>
          <w:rtl w:val="0"/>
        </w:rPr>
        <w:t> </w:t>
      </w:r>
      <w:r>
        <w:rPr>
          <w:rtl w:val="0"/>
        </w:rPr>
        <w:t xml:space="preserve">In its pages, these two leading German scientists provide 246 citations showing how the supposedly </w:t>
      </w:r>
      <w:r>
        <w:rPr>
          <w:rtl w:val="0"/>
        </w:rPr>
        <w:t>“</w:t>
      </w:r>
      <w:r>
        <w:rPr>
          <w:rtl w:val="0"/>
        </w:rPr>
        <w:t>novel</w:t>
      </w:r>
      <w:r>
        <w:rPr>
          <w:rtl w:val="0"/>
        </w:rPr>
        <w:t xml:space="preserve">” </w:t>
      </w:r>
      <w:r>
        <w:rPr>
          <w:rtl w:val="0"/>
        </w:rPr>
        <w:t>coronavirus is not abnormally dangerous. It also details how the measures taken to contain this non-existent pandemic are unscientific, ineffective and harmful.</w:t>
      </w:r>
    </w:p>
    <w:p>
      <w:pPr>
        <w:pStyle w:val="Body"/>
        <w:bidi w:val="0"/>
      </w:pPr>
      <w:r>
        <w:rPr>
          <w:rFonts w:cs="Arial Unicode MS" w:eastAsia="Arial Unicode MS"/>
          <w:rtl w:val="0"/>
          <w:lang w:val="en-US"/>
        </w:rPr>
        <w:t>The book sold over 275,000 copies in its first six weeks in Germany. It currently ranks as the  #1 bestseller on Amazon Canada in the category of Public Health Administration.</w:t>
      </w:r>
    </w:p>
    <w:p>
      <w:pPr>
        <w:pStyle w:val="Body"/>
        <w:bidi w:val="0"/>
      </w:pPr>
      <w:r>
        <w:rPr>
          <w:rFonts w:cs="Arial Unicode MS" w:eastAsia="Arial Unicode MS"/>
          <w:rtl w:val="0"/>
          <w:lang w:val="en-US"/>
        </w:rPr>
        <w:t>Professor Karina Reiss holds a PhD in biology and has received prestigious hono</w:t>
      </w:r>
      <w:r>
        <w:rPr>
          <w:rFonts w:cs="Arial Unicode MS" w:eastAsia="Arial Unicode MS"/>
          <w:rtl w:val="0"/>
          <w:lang w:val="en-US"/>
        </w:rPr>
        <w:t>u</w:t>
      </w:r>
      <w:r>
        <w:rPr>
          <w:rFonts w:cs="Arial Unicode MS" w:eastAsia="Arial Unicode MS"/>
          <w:rtl w:val="0"/>
          <w:lang w:val="en-US"/>
        </w:rPr>
        <w:t>rs and awards for academic contributions</w:t>
      </w:r>
      <w:r>
        <w:rPr>
          <w:rFonts w:cs="Arial Unicode MS" w:eastAsia="Arial Unicode MS"/>
          <w:rtl w:val="0"/>
          <w:lang w:val="en-US"/>
        </w:rPr>
        <w:t xml:space="preserve"> in the</w:t>
      </w:r>
      <w:r>
        <w:rPr>
          <w:rFonts w:cs="Arial Unicode MS" w:eastAsia="Arial Unicode MS"/>
          <w:rtl w:val="0"/>
          <w:lang w:val="en-US"/>
        </w:rPr>
        <w:t xml:space="preserve"> fields of infection and biochemistry. Dr. Bhakdi has published over </w:t>
      </w:r>
      <w:r>
        <w:rPr>
          <w:rFonts w:cs="Arial Unicode MS" w:eastAsia="Arial Unicode MS"/>
          <w:rtl w:val="0"/>
          <w:lang w:val="en-US"/>
        </w:rPr>
        <w:t>300</w:t>
      </w:r>
      <w:r>
        <w:rPr>
          <w:rFonts w:cs="Arial Unicode MS" w:eastAsia="Arial Unicode MS"/>
          <w:rtl w:val="0"/>
          <w:lang w:val="en-US"/>
        </w:rPr>
        <w:t xml:space="preserve"> articles in the fields of immunology, bacteriology and virology for which he has received the Order of Merit of Rhineland-Palatinate.</w:t>
      </w:r>
    </w:p>
    <w:p>
      <w:pPr>
        <w:pStyle w:val="Body"/>
        <w:bidi w:val="0"/>
      </w:pPr>
      <w:r>
        <w:rPr>
          <w:rFonts w:cs="Arial Unicode MS" w:eastAsia="Arial Unicode MS"/>
          <w:rtl w:val="0"/>
          <w:lang w:val="en-US"/>
        </w:rPr>
        <w:t>Their book confirms why we do not consent to unscientific, involuntary and harmful methods of disease control such as masking, lockdowns and social distancing. We do not consent to the use of PCR tests which are admitted by the FDA to be inadequate and unapproved for detecting a virus (which has not been isolated or proven to have anything to do with symptoms attributed to COVID-19).</w:t>
      </w:r>
    </w:p>
    <w:p>
      <w:pPr>
        <w:pStyle w:val="Body"/>
        <w:bidi w:val="0"/>
      </w:pPr>
      <w:r>
        <w:rPr>
          <w:rFonts w:cs="Arial Unicode MS" w:eastAsia="Arial Unicode MS"/>
          <w:rtl w:val="0"/>
          <w:lang w:val="en-US"/>
        </w:rPr>
        <w:t xml:space="preserve">Those continuing to enforce corona-control measures, which are costing lives and destroying the economy, can no longer claim ignorance before the avalanche of evidence. They will be held liable and responsible. Instead of cooperating with these international, corporate and political agendas; please help lead society away from this self-destructive </w:t>
      </w:r>
      <w:r>
        <w:rPr>
          <w:rFonts w:cs="Arial Unicode MS" w:eastAsia="Arial Unicode MS" w:hint="default"/>
          <w:rtl w:val="0"/>
          <w:lang w:val="en-US"/>
        </w:rPr>
        <w:t>“</w:t>
      </w:r>
      <w:r>
        <w:rPr>
          <w:rFonts w:cs="Arial Unicode MS" w:eastAsia="Arial Unicode MS"/>
          <w:rtl w:val="0"/>
          <w:lang w:val="en-US"/>
        </w:rPr>
        <w:t>new normal" servitude.</w:t>
      </w:r>
    </w:p>
    <w:p>
      <w:pPr>
        <w:pStyle w:val="Body"/>
        <w:bidi w:val="0"/>
        <w:rPr>
          <w:i w:val="1"/>
          <w:iCs w:val="1"/>
        </w:rPr>
      </w:pPr>
      <w:r>
        <w:rPr>
          <w:rFonts w:cs="Arial Unicode MS" w:eastAsia="Arial Unicode MS"/>
          <w:rtl w:val="0"/>
          <w:lang w:val="en-US"/>
        </w:rPr>
        <w:t>Please read the book and realize that the information and guidelines being handed down to you from the WHO, via the Ministry of Health, are not to be trusted.</w:t>
      </w:r>
    </w:p>
    <w:p>
      <w:pPr>
        <w:pStyle w:val="Body"/>
        <w:bidi w:val="0"/>
      </w:pPr>
      <w:r>
        <w:rPr>
          <w:rFonts w:cs="Arial Unicode MS" w:eastAsia="Arial Unicode MS"/>
          <w:rtl w:val="0"/>
          <w:lang w:val="en-US"/>
        </w:rPr>
        <w:t>Sincerely,</w:t>
      </w:r>
    </w:p>
    <w:p>
      <w:pPr>
        <w:pStyle w:val="Body"/>
        <w:spacing w:after="120"/>
      </w:pPr>
    </w:p>
    <w:p>
      <w:pPr>
        <w:pStyle w:val="Body"/>
        <w:spacing w:after="120"/>
      </w:pPr>
    </w:p>
    <w:p>
      <w:pPr>
        <w:pStyle w:val="Body"/>
        <w:spacing w:after="120"/>
      </w:pPr>
      <w:r>
        <w:rPr>
          <w:rtl w:val="0"/>
        </w:rPr>
        <w:t>John C. A. Manley</w:t>
      </w:r>
      <w:r>
        <w:rPr>
          <w:rtl w:val="0"/>
          <w:lang w:val="en-US"/>
        </w:rPr>
        <w:tab/>
        <w:tab/>
        <w:tab/>
        <w:t>Nicole P. Manley</w:t>
      </w:r>
    </w:p>
    <w:sectPr>
      <w:headerReference w:type="default" r:id="rId4"/>
      <w:footerReference w:type="default" r:id="rId5"/>
      <w:pgSz w:w="12240" w:h="15840" w:orient="portrait"/>
      <w:pgMar w:top="1440" w:right="1800" w:bottom="108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opperplate">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ullets">
    <w:name w:val="bullets"/>
    <w:next w:val="bullets"/>
    <w:pPr>
      <w:keepNext w:val="0"/>
      <w:keepLines w:val="0"/>
      <w:pageBreakBefore w:val="0"/>
      <w:widowControl w:val="1"/>
      <w:shd w:val="clear" w:color="auto" w:fill="auto"/>
      <w:suppressAutoHyphens w:val="0"/>
      <w:bidi w:val="0"/>
      <w:spacing w:before="0" w:after="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Internet Link">
    <w:name w:val="Internet Link"/>
    <w:rPr>
      <w:outline w:val="0"/>
      <w:color w:val="0000ff"/>
      <w:sz w:val="20"/>
      <w:szCs w:val="20"/>
      <w:u w:val="single"/>
      <w:lang w:val="en-US"/>
      <w14:textFill>
        <w14:solidFill>
          <w14:srgbClr w14:val="0000F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00" w:line="240" w:lineRule="auto"/>
      <w:ind w:left="0" w:right="0" w:firstLine="283"/>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opening">
    <w:name w:val="opening"/>
    <w:next w:val="opening"/>
    <w:pPr>
      <w:keepNext w:val="0"/>
      <w:keepLines w:val="0"/>
      <w:pageBreakBefore w:val="0"/>
      <w:widowControl w:val="1"/>
      <w:shd w:val="clear" w:color="auto" w:fill="auto"/>
      <w:suppressAutoHyphens w:val="0"/>
      <w:bidi w:val="0"/>
      <w:spacing w:before="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3_Classic_Letter">
  <a:themeElements>
    <a:clrScheme name="23_Classic_Letter">
      <a:dk1>
        <a:srgbClr val="000000"/>
      </a:dk1>
      <a:lt1>
        <a:srgbClr val="FFFFFF"/>
      </a:lt1>
      <a:dk2>
        <a:srgbClr val="5E5E5E"/>
      </a:dk2>
      <a:lt2>
        <a:srgbClr val="D5D5D5"/>
      </a:lt2>
      <a:accent1>
        <a:srgbClr val="3E74D1"/>
      </a:accent1>
      <a:accent2>
        <a:srgbClr val="33C5B9"/>
      </a:accent2>
      <a:accent3>
        <a:srgbClr val="45B53C"/>
      </a:accent3>
      <a:accent4>
        <a:srgbClr val="FFBD16"/>
      </a:accent4>
      <a:accent5>
        <a:srgbClr val="E22146"/>
      </a:accent5>
      <a:accent6>
        <a:srgbClr val="836BB7"/>
      </a:accent6>
      <a:hlink>
        <a:srgbClr val="0000FF"/>
      </a:hlink>
      <a:folHlink>
        <a:srgbClr val="FF00FF"/>
      </a:folHlink>
    </a:clrScheme>
    <a:fontScheme name="23_Classic_Letter">
      <a:majorFont>
        <a:latin typeface="Canela Deck Bold"/>
        <a:ea typeface="Canela Deck Bold"/>
        <a:cs typeface="Canela Deck Bold"/>
      </a:majorFont>
      <a:minorFont>
        <a:latin typeface="Canela Text Regular"/>
        <a:ea typeface="Canela Text Regular"/>
        <a:cs typeface="Canela Text Regular"/>
      </a:minorFont>
    </a:fontScheme>
    <a:fmtScheme name="23_Classic_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11303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FFFFFF"/>
            </a:solidFill>
            <a:effectLst/>
            <a:uFillTx/>
            <a:latin typeface="Graphik"/>
            <a:ea typeface="Graphik"/>
            <a:cs typeface="Graphik"/>
            <a:sym typeface="Graphi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179999" algn="l" defTabSz="457200" rtl="0" fontAlgn="auto" latinLnBrk="0" hangingPunct="0">
          <a:lnSpc>
            <a:spcPct val="100000"/>
          </a:lnSpc>
          <a:spcBef>
            <a:spcPts val="500"/>
          </a:spcBef>
          <a:spcAft>
            <a:spcPts val="0"/>
          </a:spcAft>
          <a:buClrTx/>
          <a:buSzTx/>
          <a:buFontTx/>
          <a:buNone/>
          <a:tabLst/>
          <a:defRPr b="0" baseline="0" cap="none" i="0" spc="0" strike="noStrike" sz="12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